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eastAsia="Arial" w:hAnsi="Muli" w:cs="Arial"/>
          <w:b/>
          <w:szCs w:val="20"/>
        </w:rPr>
      </w:pPr>
    </w:p>
    <w:p w:rsid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eastAsia="Arial" w:hAnsi="Muli" w:cs="Arial"/>
          <w:b/>
          <w:szCs w:val="20"/>
        </w:rPr>
      </w:pPr>
    </w:p>
    <w:p w:rsid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eastAsia="Arial" w:hAnsi="Muli" w:cs="Arial"/>
          <w:b/>
          <w:sz w:val="24"/>
          <w:szCs w:val="20"/>
        </w:rPr>
      </w:pPr>
      <w:r w:rsidRPr="00652CAE">
        <w:rPr>
          <w:rFonts w:ascii="Muli" w:eastAsia="Arial" w:hAnsi="Muli" w:cs="Arial"/>
          <w:b/>
          <w:sz w:val="24"/>
          <w:szCs w:val="20"/>
        </w:rPr>
        <w:t xml:space="preserve">Guide for Accreditation Visit </w:t>
      </w:r>
    </w:p>
    <w:p w:rsidR="008C422A" w:rsidRPr="00652CAE" w:rsidRDefault="00A34230"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i/>
          <w:sz w:val="16"/>
          <w:szCs w:val="20"/>
        </w:rPr>
      </w:pPr>
      <w:r>
        <w:rPr>
          <w:rFonts w:ascii="Muli" w:hAnsi="Muli"/>
          <w:i/>
          <w:sz w:val="16"/>
          <w:szCs w:val="20"/>
        </w:rPr>
        <w:t xml:space="preserve">Exit Meetings </w:t>
      </w:r>
    </w:p>
    <w:p w:rsidR="00A34230" w:rsidRDefault="00A34230" w:rsidP="00A34230">
      <w:pPr>
        <w:pBdr>
          <w:top w:val="none" w:sz="4" w:space="0" w:color="000000"/>
          <w:left w:val="none" w:sz="4" w:space="0" w:color="000000"/>
          <w:bottom w:val="none" w:sz="4" w:space="0" w:color="000000"/>
          <w:right w:val="none" w:sz="4" w:space="0" w:color="000000"/>
        </w:pBdr>
        <w:spacing w:after="0" w:line="240" w:lineRule="auto"/>
        <w:jc w:val="both"/>
        <w:rPr>
          <w:rFonts w:ascii="Muli" w:eastAsia="Arial" w:hAnsi="Muli" w:cs="Arial"/>
          <w:b/>
          <w:sz w:val="18"/>
          <w:szCs w:val="18"/>
        </w:rPr>
      </w:pPr>
      <w:r w:rsidRPr="00A34230">
        <w:rPr>
          <w:rFonts w:ascii="Muli" w:eastAsia="Arial" w:hAnsi="Muli" w:cs="Arial"/>
          <w:b/>
          <w:sz w:val="18"/>
          <w:szCs w:val="18"/>
        </w:rPr>
        <w:t xml:space="preserve"> </w:t>
      </w:r>
    </w:p>
    <w:p w:rsidR="00A34230" w:rsidRDefault="00A34230" w:rsidP="00A34230">
      <w:pPr>
        <w:pBdr>
          <w:top w:val="none" w:sz="4" w:space="0" w:color="000000"/>
          <w:left w:val="none" w:sz="4" w:space="0" w:color="000000"/>
          <w:bottom w:val="none" w:sz="4" w:space="0" w:color="000000"/>
          <w:right w:val="none" w:sz="4" w:space="0" w:color="000000"/>
        </w:pBdr>
        <w:spacing w:after="0" w:line="240" w:lineRule="auto"/>
        <w:jc w:val="both"/>
        <w:rPr>
          <w:rFonts w:ascii="Muli" w:hAnsi="Muli"/>
          <w:sz w:val="18"/>
          <w:szCs w:val="18"/>
        </w:rPr>
      </w:pPr>
      <w:r w:rsidRPr="00A34230">
        <w:rPr>
          <w:rFonts w:ascii="Muli" w:hAnsi="Muli"/>
          <w:sz w:val="18"/>
          <w:szCs w:val="18"/>
        </w:rPr>
        <w:t>During the exit meetings, the Visiting Team Chair provides a verbal summary of the team's assessment of the Program, aiming to consistently highlight the key points that will later be reflected in the Visiting Team Report (VTR). The first meeting is held w</w:t>
      </w:r>
      <w:r>
        <w:rPr>
          <w:rFonts w:ascii="Muli" w:hAnsi="Muli"/>
          <w:sz w:val="18"/>
          <w:szCs w:val="18"/>
        </w:rPr>
        <w:t xml:space="preserve">ith the Program Head. </w:t>
      </w:r>
      <w:r w:rsidRPr="00A34230">
        <w:rPr>
          <w:rFonts w:ascii="Muli" w:hAnsi="Muli"/>
          <w:sz w:val="18"/>
          <w:szCs w:val="18"/>
        </w:rPr>
        <w:t xml:space="preserve">This is then followed by a meeting with the </w:t>
      </w:r>
      <w:r>
        <w:rPr>
          <w:rFonts w:ascii="Muli" w:hAnsi="Muli"/>
          <w:sz w:val="18"/>
          <w:szCs w:val="18"/>
        </w:rPr>
        <w:t xml:space="preserve">Dean, and a meeting with the University President and Provost. </w:t>
      </w:r>
    </w:p>
    <w:p w:rsidR="00A34230" w:rsidRDefault="00A34230" w:rsidP="00A34230">
      <w:pPr>
        <w:pBdr>
          <w:top w:val="none" w:sz="4" w:space="0" w:color="000000"/>
          <w:left w:val="none" w:sz="4" w:space="0" w:color="000000"/>
          <w:bottom w:val="none" w:sz="4" w:space="0" w:color="000000"/>
          <w:right w:val="none" w:sz="4" w:space="0" w:color="000000"/>
        </w:pBdr>
        <w:spacing w:after="0" w:line="240" w:lineRule="auto"/>
        <w:jc w:val="both"/>
        <w:rPr>
          <w:rFonts w:ascii="Muli" w:hAnsi="Muli"/>
          <w:sz w:val="18"/>
          <w:szCs w:val="18"/>
        </w:rPr>
      </w:pPr>
    </w:p>
    <w:p w:rsidR="00A34230" w:rsidRPr="00A34230" w:rsidRDefault="00A34230" w:rsidP="00A34230">
      <w:pPr>
        <w:pStyle w:val="NormalWeb"/>
        <w:spacing w:before="0" w:beforeAutospacing="0"/>
        <w:jc w:val="both"/>
        <w:rPr>
          <w:rFonts w:ascii="Muli" w:hAnsi="Muli"/>
          <w:sz w:val="18"/>
          <w:szCs w:val="18"/>
        </w:rPr>
      </w:pPr>
      <w:r w:rsidRPr="00A34230">
        <w:rPr>
          <w:rFonts w:ascii="Muli" w:hAnsi="Muli"/>
          <w:sz w:val="18"/>
          <w:szCs w:val="18"/>
        </w:rPr>
        <w:t>At all times during these meetings, the Chair must avoid disclosing the Visiting Team’s confidential recommendation regarding the term of accreditation. No such information should be shared with the Program Head, faculty, or administration while the Visiting Team is on-site. The final decision and communication of accreditation status is the sole responsibility of the CACB Boa</w:t>
      </w:r>
      <w:bookmarkStart w:id="0" w:name="_GoBack"/>
      <w:bookmarkEnd w:id="0"/>
      <w:r w:rsidRPr="00A34230">
        <w:rPr>
          <w:rFonts w:ascii="Muli" w:hAnsi="Muli"/>
          <w:sz w:val="18"/>
          <w:szCs w:val="18"/>
        </w:rPr>
        <w:t>rd.</w:t>
      </w:r>
    </w:p>
    <w:p w:rsidR="00A34230" w:rsidRPr="00A34230" w:rsidRDefault="00A34230" w:rsidP="00A34230">
      <w:pPr>
        <w:pStyle w:val="BodyText"/>
        <w:spacing w:after="0" w:line="240" w:lineRule="auto"/>
        <w:ind w:right="367" w:firstLine="708"/>
        <w:jc w:val="both"/>
        <w:rPr>
          <w:rFonts w:ascii="Muli" w:hAnsi="Muli"/>
          <w:sz w:val="18"/>
          <w:szCs w:val="18"/>
          <w:u w:val="single"/>
        </w:rPr>
      </w:pPr>
      <w:r w:rsidRPr="00A34230">
        <w:rPr>
          <w:rFonts w:ascii="Muli" w:hAnsi="Muli"/>
          <w:sz w:val="18"/>
          <w:szCs w:val="18"/>
          <w:u w:val="single"/>
        </w:rPr>
        <w:t>2.2.2.1.8 Exit</w:t>
      </w:r>
      <w:r w:rsidRPr="00A34230">
        <w:rPr>
          <w:rFonts w:ascii="Muli" w:hAnsi="Muli"/>
          <w:spacing w:val="-4"/>
          <w:sz w:val="18"/>
          <w:szCs w:val="18"/>
          <w:u w:val="single"/>
        </w:rPr>
        <w:t xml:space="preserve"> </w:t>
      </w:r>
      <w:r w:rsidRPr="00A34230">
        <w:rPr>
          <w:rFonts w:ascii="Muli" w:hAnsi="Muli"/>
          <w:sz w:val="18"/>
          <w:szCs w:val="18"/>
          <w:u w:val="single"/>
        </w:rPr>
        <w:t>Meetings</w:t>
      </w:r>
    </w:p>
    <w:p w:rsidR="00A34230" w:rsidRDefault="00A34230" w:rsidP="00A34230">
      <w:pPr>
        <w:pStyle w:val="BodyText"/>
        <w:spacing w:after="0" w:line="240" w:lineRule="auto"/>
        <w:ind w:left="708" w:right="157"/>
        <w:jc w:val="both"/>
        <w:rPr>
          <w:rFonts w:ascii="Muli" w:hAnsi="Muli"/>
          <w:sz w:val="18"/>
          <w:szCs w:val="18"/>
          <w:lang w:val="en-CA"/>
        </w:rPr>
      </w:pPr>
      <w:r w:rsidRPr="00A34230">
        <w:rPr>
          <w:rFonts w:ascii="Muli" w:hAnsi="Muli"/>
          <w:sz w:val="18"/>
          <w:szCs w:val="18"/>
          <w:lang w:val="en-CA"/>
        </w:rPr>
        <w:t>These are meetings that include the specific group and the Visiting Team, during which the Team Chair reads the Team’s General Comments, Program Strengths, and Causes of Concern from the draft VTR. The Team Chair should remind all present that the VTR is still in draft form. No information regarding the Conditions or SPCs met and not met, or regarding the confidential recommendation, may be divulged in any form.</w:t>
      </w:r>
    </w:p>
    <w:p w:rsidR="00A34230" w:rsidRDefault="00A34230" w:rsidP="00A34230">
      <w:pPr>
        <w:pStyle w:val="BodyText"/>
        <w:spacing w:after="0" w:line="240" w:lineRule="auto"/>
        <w:ind w:left="708" w:right="157"/>
        <w:jc w:val="both"/>
        <w:rPr>
          <w:rFonts w:ascii="Muli" w:hAnsi="Muli"/>
          <w:sz w:val="18"/>
          <w:szCs w:val="18"/>
          <w:lang w:val="en-CA"/>
        </w:rPr>
      </w:pPr>
    </w:p>
    <w:p w:rsidR="00A34230" w:rsidRDefault="00A34230" w:rsidP="00A34230">
      <w:pPr>
        <w:pStyle w:val="BodyText"/>
        <w:spacing w:after="0" w:line="240" w:lineRule="auto"/>
        <w:ind w:left="708" w:right="157"/>
        <w:jc w:val="both"/>
        <w:rPr>
          <w:rFonts w:ascii="Muli" w:hAnsi="Muli"/>
          <w:sz w:val="18"/>
          <w:szCs w:val="18"/>
          <w:lang w:val="en-CA"/>
        </w:rPr>
      </w:pPr>
      <w:r w:rsidRPr="00A34230">
        <w:rPr>
          <w:rFonts w:ascii="Muli" w:hAnsi="Muli"/>
          <w:sz w:val="18"/>
          <w:szCs w:val="18"/>
          <w:lang w:val="en-CA"/>
        </w:rPr>
        <w:t>These meetings provide the opportunity for discussion and clarification, and are held in the following order:</w:t>
      </w:r>
    </w:p>
    <w:p w:rsidR="00A34230" w:rsidRDefault="00A34230" w:rsidP="00A34230">
      <w:pPr>
        <w:pStyle w:val="BodyText"/>
        <w:numPr>
          <w:ilvl w:val="0"/>
          <w:numId w:val="11"/>
        </w:numPr>
        <w:spacing w:after="0" w:line="240" w:lineRule="auto"/>
        <w:ind w:right="157"/>
        <w:jc w:val="both"/>
        <w:rPr>
          <w:rFonts w:ascii="Muli" w:hAnsi="Muli"/>
          <w:sz w:val="18"/>
          <w:szCs w:val="18"/>
        </w:rPr>
      </w:pPr>
      <w:r w:rsidRPr="00A34230">
        <w:rPr>
          <w:rFonts w:ascii="Muli" w:hAnsi="Muli"/>
          <w:sz w:val="18"/>
          <w:szCs w:val="18"/>
        </w:rPr>
        <w:t>Program Head;</w:t>
      </w:r>
    </w:p>
    <w:p w:rsidR="00A34230" w:rsidRDefault="00A34230" w:rsidP="00A34230">
      <w:pPr>
        <w:pStyle w:val="BodyText"/>
        <w:numPr>
          <w:ilvl w:val="0"/>
          <w:numId w:val="11"/>
        </w:numPr>
        <w:spacing w:after="0" w:line="240" w:lineRule="auto"/>
        <w:ind w:right="157"/>
        <w:jc w:val="both"/>
        <w:rPr>
          <w:rFonts w:ascii="Muli" w:hAnsi="Muli"/>
          <w:sz w:val="18"/>
          <w:szCs w:val="18"/>
        </w:rPr>
      </w:pPr>
      <w:r w:rsidRPr="00A34230">
        <w:rPr>
          <w:rFonts w:ascii="Muli" w:hAnsi="Muli"/>
          <w:sz w:val="18"/>
          <w:szCs w:val="18"/>
        </w:rPr>
        <w:t>Dean(s) or equivalent;</w:t>
      </w:r>
      <w:r w:rsidRPr="00A34230">
        <w:rPr>
          <w:rFonts w:ascii="Muli" w:hAnsi="Muli"/>
          <w:spacing w:val="-5"/>
          <w:sz w:val="18"/>
          <w:szCs w:val="18"/>
        </w:rPr>
        <w:t xml:space="preserve"> </w:t>
      </w:r>
      <w:r>
        <w:rPr>
          <w:rFonts w:ascii="Muli" w:hAnsi="Muli"/>
          <w:sz w:val="18"/>
          <w:szCs w:val="18"/>
        </w:rPr>
        <w:t>and</w:t>
      </w:r>
    </w:p>
    <w:p w:rsidR="00A34230" w:rsidRPr="00A34230" w:rsidRDefault="00A34230" w:rsidP="00A34230">
      <w:pPr>
        <w:pStyle w:val="BodyText"/>
        <w:numPr>
          <w:ilvl w:val="0"/>
          <w:numId w:val="11"/>
        </w:numPr>
        <w:spacing w:after="0" w:line="240" w:lineRule="auto"/>
        <w:ind w:right="157"/>
        <w:jc w:val="both"/>
        <w:rPr>
          <w:rFonts w:ascii="Muli" w:hAnsi="Muli"/>
          <w:sz w:val="18"/>
          <w:szCs w:val="18"/>
        </w:rPr>
      </w:pPr>
      <w:r w:rsidRPr="00A34230">
        <w:rPr>
          <w:rFonts w:ascii="Muli" w:hAnsi="Muli"/>
          <w:sz w:val="18"/>
          <w:szCs w:val="18"/>
        </w:rPr>
        <w:t>University President (or designate) and Provost</w:t>
      </w:r>
      <w:r w:rsidRPr="00A34230">
        <w:rPr>
          <w:rFonts w:ascii="Muli" w:hAnsi="Muli"/>
          <w:spacing w:val="-4"/>
          <w:sz w:val="18"/>
          <w:szCs w:val="18"/>
        </w:rPr>
        <w:t xml:space="preserve"> </w:t>
      </w:r>
      <w:r w:rsidRPr="00A34230">
        <w:rPr>
          <w:rFonts w:ascii="Muli" w:hAnsi="Muli"/>
          <w:sz w:val="18"/>
          <w:szCs w:val="18"/>
        </w:rPr>
        <w:t>(CAO)</w:t>
      </w:r>
    </w:p>
    <w:p w:rsidR="00A34230" w:rsidRDefault="00A34230" w:rsidP="00A34230">
      <w:pPr>
        <w:pStyle w:val="BodyText"/>
        <w:spacing w:after="0" w:line="240" w:lineRule="auto"/>
        <w:ind w:left="708" w:right="157"/>
        <w:jc w:val="both"/>
        <w:rPr>
          <w:rFonts w:ascii="Muli" w:hAnsi="Muli"/>
          <w:sz w:val="18"/>
          <w:szCs w:val="18"/>
        </w:rPr>
      </w:pPr>
    </w:p>
    <w:p w:rsidR="00A34230" w:rsidRPr="00A34230" w:rsidRDefault="00A34230" w:rsidP="00A34230">
      <w:pPr>
        <w:pStyle w:val="BodyText"/>
        <w:spacing w:after="0" w:line="240" w:lineRule="auto"/>
        <w:ind w:left="708" w:right="157"/>
        <w:jc w:val="both"/>
        <w:rPr>
          <w:rFonts w:ascii="Muli" w:hAnsi="Muli"/>
          <w:sz w:val="18"/>
          <w:szCs w:val="18"/>
          <w:lang w:val="en-CA"/>
        </w:rPr>
      </w:pPr>
      <w:r w:rsidRPr="00A34230">
        <w:rPr>
          <w:rFonts w:ascii="Muli" w:hAnsi="Muli"/>
          <w:sz w:val="18"/>
          <w:szCs w:val="18"/>
        </w:rPr>
        <w:t>Absolutely no information regarding the confidential Visiting Team recommendation should be communicated. This remains the role of the CACB Board, following its final decision.</w:t>
      </w:r>
    </w:p>
    <w:p w:rsidR="00A34230" w:rsidRDefault="00A34230" w:rsidP="00A34230">
      <w:pPr>
        <w:spacing w:after="0"/>
      </w:pPr>
    </w:p>
    <w:p w:rsidR="00A34230" w:rsidRDefault="00A34230" w:rsidP="00A34230">
      <w:pPr>
        <w:spacing w:after="0"/>
      </w:pPr>
    </w:p>
    <w:p w:rsidR="00A90688" w:rsidRPr="003E0C1E" w:rsidRDefault="00A90688" w:rsidP="00652CAE">
      <w:pPr>
        <w:spacing w:after="0" w:line="240" w:lineRule="auto"/>
        <w:jc w:val="both"/>
        <w:rPr>
          <w:rFonts w:ascii="Muli" w:eastAsia="Arial" w:hAnsi="Muli" w:cs="Arial"/>
          <w:sz w:val="20"/>
          <w:szCs w:val="20"/>
        </w:rPr>
      </w:pPr>
    </w:p>
    <w:sectPr w:rsidR="00A90688" w:rsidRPr="003E0C1E" w:rsidSect="00652CAE">
      <w:headerReference w:type="first" r:id="rId7"/>
      <w:pgSz w:w="11906" w:h="16838"/>
      <w:pgMar w:top="1440" w:right="1440" w:bottom="1440" w:left="144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74" w:rsidRDefault="00931974">
      <w:pPr>
        <w:spacing w:after="0" w:line="240" w:lineRule="auto"/>
      </w:pPr>
      <w:r>
        <w:separator/>
      </w:r>
    </w:p>
  </w:endnote>
  <w:endnote w:type="continuationSeparator" w:id="0">
    <w:p w:rsidR="00931974" w:rsidRDefault="0093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panose1 w:val="02000503000000000000"/>
    <w:charset w:val="00"/>
    <w:family w:val="auto"/>
    <w:pitch w:val="variable"/>
    <w:sig w:usb0="A00000EF" w:usb1="4000204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74" w:rsidRDefault="00931974">
      <w:pPr>
        <w:spacing w:after="0" w:line="240" w:lineRule="auto"/>
      </w:pPr>
      <w:r>
        <w:separator/>
      </w:r>
    </w:p>
  </w:footnote>
  <w:footnote w:type="continuationSeparator" w:id="0">
    <w:p w:rsidR="00931974" w:rsidRDefault="00931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AE" w:rsidRDefault="00652CAE">
    <w:pPr>
      <w:pStyle w:val="Header"/>
    </w:pPr>
    <w:r>
      <w:rPr>
        <w:rFonts w:ascii="Times New Roman" w:hAnsi="Times New Roman" w:cs="Times New Roman"/>
        <w:noProof/>
        <w:sz w:val="24"/>
        <w:szCs w:val="24"/>
        <w:lang w:val="en-CA" w:eastAsia="en-CA"/>
      </w:rPr>
      <w:drawing>
        <wp:anchor distT="0" distB="0" distL="114300" distR="114300" simplePos="0" relativeHeight="251659264" behindDoc="0" locked="0" layoutInCell="1" allowOverlap="1" wp14:anchorId="4292BB11" wp14:editId="121F4223">
          <wp:simplePos x="0" y="0"/>
          <wp:positionH relativeFrom="margin">
            <wp:align>left</wp:align>
          </wp:positionH>
          <wp:positionV relativeFrom="paragraph">
            <wp:posOffset>-159904</wp:posOffset>
          </wp:positionV>
          <wp:extent cx="1214755" cy="875665"/>
          <wp:effectExtent l="0" t="0" r="444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654"/>
                  <a:stretch/>
                </pic:blipFill>
                <pic:spPr bwMode="auto">
                  <a:xfrm>
                    <a:off x="0" y="0"/>
                    <a:ext cx="1214755" cy="875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053"/>
    <w:multiLevelType w:val="hybridMultilevel"/>
    <w:tmpl w:val="C24C6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AB0AAB"/>
    <w:multiLevelType w:val="hybridMultilevel"/>
    <w:tmpl w:val="E3EC80CE"/>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2" w15:restartNumberingAfterBreak="0">
    <w:nsid w:val="19464AD3"/>
    <w:multiLevelType w:val="multilevel"/>
    <w:tmpl w:val="7F9E4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79C37DE"/>
    <w:multiLevelType w:val="multilevel"/>
    <w:tmpl w:val="E2964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2B977864"/>
    <w:multiLevelType w:val="hybridMultilevel"/>
    <w:tmpl w:val="E40EA3CE"/>
    <w:lvl w:ilvl="0" w:tplc="1EAE3E9E">
      <w:start w:val="1"/>
      <w:numFmt w:val="bullet"/>
      <w:lvlText w:val=""/>
      <w:lvlJc w:val="left"/>
      <w:pPr>
        <w:ind w:left="720" w:hanging="360"/>
      </w:pPr>
      <w:rPr>
        <w:rFonts w:ascii="WP IconicSymbolsA" w:eastAsia="Times" w:hAnsi="WP IconicSymbolsA" w:hint="default"/>
      </w:rPr>
    </w:lvl>
    <w:lvl w:ilvl="1" w:tplc="10090003" w:tentative="1">
      <w:start w:val="1"/>
      <w:numFmt w:val="bullet"/>
      <w:lvlText w:val="o"/>
      <w:lvlJc w:val="left"/>
      <w:pPr>
        <w:ind w:left="1440" w:hanging="360"/>
      </w:pPr>
      <w:rPr>
        <w:rFonts w:ascii="Courier New" w:hAnsi="Courier New" w:cs="Courier New" w:hint="default"/>
      </w:rPr>
    </w:lvl>
    <w:lvl w:ilvl="2" w:tplc="1EAE3E9E">
      <w:start w:val="1"/>
      <w:numFmt w:val="bullet"/>
      <w:lvlText w:val=""/>
      <w:lvlJc w:val="left"/>
      <w:pPr>
        <w:ind w:left="2160" w:hanging="360"/>
      </w:pPr>
      <w:rPr>
        <w:rFonts w:ascii="WP IconicSymbolsA" w:eastAsia="Times" w:hAnsi="WP IconicSymbolsA"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135577"/>
    <w:multiLevelType w:val="multilevel"/>
    <w:tmpl w:val="21EE2D3E"/>
    <w:lvl w:ilvl="0">
      <w:numFmt w:val="bullet"/>
      <w:lvlText w:val=""/>
      <w:lvlJc w:val="left"/>
      <w:pPr>
        <w:ind w:left="544" w:hanging="272"/>
      </w:pPr>
      <w:rPr>
        <w:rFonts w:ascii="Symbol" w:eastAsia="Symbol" w:hAnsi="Symbol" w:cs="Symbol" w:hint="default"/>
        <w:sz w:val="22"/>
        <w:szCs w:val="22"/>
      </w:rPr>
    </w:lvl>
    <w:lvl w:ilvl="1">
      <w:numFmt w:val="bullet"/>
      <w:lvlText w:val="•"/>
      <w:lvlJc w:val="left"/>
      <w:pPr>
        <w:ind w:left="1390" w:hanging="272"/>
      </w:pPr>
      <w:rPr>
        <w:rFonts w:hint="default"/>
      </w:rPr>
    </w:lvl>
    <w:lvl w:ilvl="2">
      <w:numFmt w:val="bullet"/>
      <w:lvlText w:val="•"/>
      <w:lvlJc w:val="left"/>
      <w:pPr>
        <w:ind w:left="2228" w:hanging="272"/>
      </w:pPr>
      <w:rPr>
        <w:rFonts w:hint="default"/>
      </w:rPr>
    </w:lvl>
    <w:lvl w:ilvl="3">
      <w:numFmt w:val="bullet"/>
      <w:lvlText w:val="•"/>
      <w:lvlJc w:val="left"/>
      <w:pPr>
        <w:ind w:left="3066" w:hanging="272"/>
      </w:pPr>
      <w:rPr>
        <w:rFonts w:hint="default"/>
      </w:rPr>
    </w:lvl>
    <w:lvl w:ilvl="4">
      <w:numFmt w:val="bullet"/>
      <w:lvlText w:val="•"/>
      <w:lvlJc w:val="left"/>
      <w:pPr>
        <w:ind w:left="3904" w:hanging="272"/>
      </w:pPr>
      <w:rPr>
        <w:rFonts w:hint="default"/>
      </w:rPr>
    </w:lvl>
    <w:lvl w:ilvl="5">
      <w:numFmt w:val="bullet"/>
      <w:lvlText w:val="•"/>
      <w:lvlJc w:val="left"/>
      <w:pPr>
        <w:ind w:left="4742" w:hanging="272"/>
      </w:pPr>
      <w:rPr>
        <w:rFonts w:hint="default"/>
      </w:rPr>
    </w:lvl>
    <w:lvl w:ilvl="6">
      <w:numFmt w:val="bullet"/>
      <w:lvlText w:val="•"/>
      <w:lvlJc w:val="left"/>
      <w:pPr>
        <w:ind w:left="5580" w:hanging="272"/>
      </w:pPr>
      <w:rPr>
        <w:rFonts w:hint="default"/>
      </w:rPr>
    </w:lvl>
    <w:lvl w:ilvl="7">
      <w:numFmt w:val="bullet"/>
      <w:lvlText w:val="•"/>
      <w:lvlJc w:val="left"/>
      <w:pPr>
        <w:ind w:left="6418" w:hanging="272"/>
      </w:pPr>
      <w:rPr>
        <w:rFonts w:hint="default"/>
      </w:rPr>
    </w:lvl>
    <w:lvl w:ilvl="8">
      <w:numFmt w:val="bullet"/>
      <w:lvlText w:val="•"/>
      <w:lvlJc w:val="left"/>
      <w:pPr>
        <w:ind w:left="7256" w:hanging="272"/>
      </w:pPr>
      <w:rPr>
        <w:rFonts w:hint="default"/>
      </w:rPr>
    </w:lvl>
  </w:abstractNum>
  <w:abstractNum w:abstractNumId="6" w15:restartNumberingAfterBreak="0">
    <w:nsid w:val="52D619BE"/>
    <w:multiLevelType w:val="hybridMultilevel"/>
    <w:tmpl w:val="8A7E8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695DDA"/>
    <w:multiLevelType w:val="multilevel"/>
    <w:tmpl w:val="6EDC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E7FA7"/>
    <w:multiLevelType w:val="hybridMultilevel"/>
    <w:tmpl w:val="F62A5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0955EEC"/>
    <w:multiLevelType w:val="multilevel"/>
    <w:tmpl w:val="922AC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74F65E4A"/>
    <w:multiLevelType w:val="multilevel"/>
    <w:tmpl w:val="16004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0"/>
  </w:num>
  <w:num w:numId="2">
    <w:abstractNumId w:val="9"/>
  </w:num>
  <w:num w:numId="3">
    <w:abstractNumId w:val="3"/>
  </w:num>
  <w:num w:numId="4">
    <w:abstractNumId w:val="2"/>
  </w:num>
  <w:num w:numId="5">
    <w:abstractNumId w:val="4"/>
  </w:num>
  <w:num w:numId="6">
    <w:abstractNumId w:val="6"/>
  </w:num>
  <w:num w:numId="7">
    <w:abstractNumId w:val="8"/>
  </w:num>
  <w:num w:numId="8">
    <w:abstractNumId w:val="7"/>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88"/>
    <w:rsid w:val="00153B8B"/>
    <w:rsid w:val="003E0C1E"/>
    <w:rsid w:val="00652CAE"/>
    <w:rsid w:val="00796BDD"/>
    <w:rsid w:val="008267E9"/>
    <w:rsid w:val="008C422A"/>
    <w:rsid w:val="00931974"/>
    <w:rsid w:val="00A34230"/>
    <w:rsid w:val="00A90688"/>
    <w:rsid w:val="00AD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4A362-7512-406B-B9C3-A5D1458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E74B5"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semiHidden/>
    <w:rsid w:val="003E0C1E"/>
    <w:pPr>
      <w:numPr>
        <w:ilvl w:val="12"/>
      </w:num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5" w:lineRule="auto"/>
      <w:ind w:left="1440"/>
    </w:pPr>
    <w:rPr>
      <w:rFonts w:ascii="Arial" w:eastAsia="Times New Roman" w:hAnsi="Arial" w:cs="Times New Roman"/>
      <w:i/>
      <w:sz w:val="20"/>
      <w:szCs w:val="20"/>
      <w:lang w:eastAsia="en-CA"/>
    </w:rPr>
  </w:style>
  <w:style w:type="character" w:customStyle="1" w:styleId="BodyTextIndentChar">
    <w:name w:val="Body Text Indent Char"/>
    <w:basedOn w:val="DefaultParagraphFont"/>
    <w:link w:val="BodyTextIndent"/>
    <w:semiHidden/>
    <w:rsid w:val="003E0C1E"/>
    <w:rPr>
      <w:rFonts w:ascii="Arial" w:eastAsia="Times New Roman" w:hAnsi="Arial" w:cs="Times New Roman"/>
      <w:i/>
      <w:sz w:val="20"/>
      <w:szCs w:val="20"/>
      <w:lang w:eastAsia="en-CA"/>
    </w:rPr>
  </w:style>
  <w:style w:type="paragraph" w:styleId="BodyText">
    <w:name w:val="Body Text"/>
    <w:basedOn w:val="Normal"/>
    <w:link w:val="BodyTextChar"/>
    <w:uiPriority w:val="99"/>
    <w:unhideWhenUsed/>
    <w:rsid w:val="00A34230"/>
    <w:pPr>
      <w:spacing w:after="120"/>
    </w:pPr>
  </w:style>
  <w:style w:type="character" w:customStyle="1" w:styleId="BodyTextChar">
    <w:name w:val="Body Text Char"/>
    <w:basedOn w:val="DefaultParagraphFont"/>
    <w:link w:val="BodyText"/>
    <w:uiPriority w:val="99"/>
    <w:rsid w:val="00A34230"/>
  </w:style>
  <w:style w:type="paragraph" w:styleId="NormalWeb">
    <w:name w:val="Normal (Web)"/>
    <w:basedOn w:val="Normal"/>
    <w:uiPriority w:val="99"/>
    <w:unhideWhenUsed/>
    <w:rsid w:val="00A34230"/>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5384">
      <w:bodyDiv w:val="1"/>
      <w:marLeft w:val="0"/>
      <w:marRight w:val="0"/>
      <w:marTop w:val="0"/>
      <w:marBottom w:val="0"/>
      <w:divBdr>
        <w:top w:val="none" w:sz="0" w:space="0" w:color="auto"/>
        <w:left w:val="none" w:sz="0" w:space="0" w:color="auto"/>
        <w:bottom w:val="none" w:sz="0" w:space="0" w:color="auto"/>
        <w:right w:val="none" w:sz="0" w:space="0" w:color="auto"/>
      </w:divBdr>
    </w:div>
    <w:div w:id="564029664">
      <w:bodyDiv w:val="1"/>
      <w:marLeft w:val="0"/>
      <w:marRight w:val="0"/>
      <w:marTop w:val="0"/>
      <w:marBottom w:val="0"/>
      <w:divBdr>
        <w:top w:val="none" w:sz="0" w:space="0" w:color="auto"/>
        <w:left w:val="none" w:sz="0" w:space="0" w:color="auto"/>
        <w:bottom w:val="none" w:sz="0" w:space="0" w:color="auto"/>
        <w:right w:val="none" w:sz="0" w:space="0" w:color="auto"/>
      </w:divBdr>
    </w:div>
    <w:div w:id="615798754">
      <w:bodyDiv w:val="1"/>
      <w:marLeft w:val="0"/>
      <w:marRight w:val="0"/>
      <w:marTop w:val="0"/>
      <w:marBottom w:val="0"/>
      <w:divBdr>
        <w:top w:val="none" w:sz="0" w:space="0" w:color="auto"/>
        <w:left w:val="none" w:sz="0" w:space="0" w:color="auto"/>
        <w:bottom w:val="none" w:sz="0" w:space="0" w:color="auto"/>
        <w:right w:val="none" w:sz="0" w:space="0" w:color="auto"/>
      </w:divBdr>
      <w:divsChild>
        <w:div w:id="1313100193">
          <w:marLeft w:val="0"/>
          <w:marRight w:val="0"/>
          <w:marTop w:val="0"/>
          <w:marBottom w:val="0"/>
          <w:divBdr>
            <w:top w:val="none" w:sz="0" w:space="0" w:color="auto"/>
            <w:left w:val="none" w:sz="0" w:space="0" w:color="auto"/>
            <w:bottom w:val="none" w:sz="0" w:space="0" w:color="auto"/>
            <w:right w:val="none" w:sz="0" w:space="0" w:color="auto"/>
          </w:divBdr>
          <w:divsChild>
            <w:div w:id="1617103274">
              <w:marLeft w:val="0"/>
              <w:marRight w:val="0"/>
              <w:marTop w:val="0"/>
              <w:marBottom w:val="0"/>
              <w:divBdr>
                <w:top w:val="none" w:sz="0" w:space="0" w:color="auto"/>
                <w:left w:val="none" w:sz="0" w:space="0" w:color="auto"/>
                <w:bottom w:val="none" w:sz="0" w:space="0" w:color="auto"/>
                <w:right w:val="none" w:sz="0" w:space="0" w:color="auto"/>
              </w:divBdr>
              <w:divsChild>
                <w:div w:id="1135564178">
                  <w:marLeft w:val="0"/>
                  <w:marRight w:val="0"/>
                  <w:marTop w:val="0"/>
                  <w:marBottom w:val="0"/>
                  <w:divBdr>
                    <w:top w:val="none" w:sz="0" w:space="0" w:color="auto"/>
                    <w:left w:val="none" w:sz="0" w:space="0" w:color="auto"/>
                    <w:bottom w:val="none" w:sz="0" w:space="0" w:color="auto"/>
                    <w:right w:val="none" w:sz="0" w:space="0" w:color="auto"/>
                  </w:divBdr>
                  <w:divsChild>
                    <w:div w:id="841047769">
                      <w:marLeft w:val="0"/>
                      <w:marRight w:val="0"/>
                      <w:marTop w:val="0"/>
                      <w:marBottom w:val="0"/>
                      <w:divBdr>
                        <w:top w:val="none" w:sz="0" w:space="0" w:color="auto"/>
                        <w:left w:val="none" w:sz="0" w:space="0" w:color="auto"/>
                        <w:bottom w:val="none" w:sz="0" w:space="0" w:color="auto"/>
                        <w:right w:val="none" w:sz="0" w:space="0" w:color="auto"/>
                      </w:divBdr>
                      <w:divsChild>
                        <w:div w:id="1652176434">
                          <w:marLeft w:val="0"/>
                          <w:marRight w:val="0"/>
                          <w:marTop w:val="0"/>
                          <w:marBottom w:val="0"/>
                          <w:divBdr>
                            <w:top w:val="none" w:sz="0" w:space="0" w:color="auto"/>
                            <w:left w:val="none" w:sz="0" w:space="0" w:color="auto"/>
                            <w:bottom w:val="none" w:sz="0" w:space="0" w:color="auto"/>
                            <w:right w:val="none" w:sz="0" w:space="0" w:color="auto"/>
                          </w:divBdr>
                          <w:divsChild>
                            <w:div w:id="283191695">
                              <w:marLeft w:val="0"/>
                              <w:marRight w:val="0"/>
                              <w:marTop w:val="0"/>
                              <w:marBottom w:val="0"/>
                              <w:divBdr>
                                <w:top w:val="none" w:sz="0" w:space="0" w:color="auto"/>
                                <w:left w:val="none" w:sz="0" w:space="0" w:color="auto"/>
                                <w:bottom w:val="none" w:sz="0" w:space="0" w:color="auto"/>
                                <w:right w:val="none" w:sz="0" w:space="0" w:color="auto"/>
                              </w:divBdr>
                              <w:divsChild>
                                <w:div w:id="299462127">
                                  <w:marLeft w:val="0"/>
                                  <w:marRight w:val="0"/>
                                  <w:marTop w:val="0"/>
                                  <w:marBottom w:val="0"/>
                                  <w:divBdr>
                                    <w:top w:val="none" w:sz="0" w:space="0" w:color="auto"/>
                                    <w:left w:val="none" w:sz="0" w:space="0" w:color="auto"/>
                                    <w:bottom w:val="none" w:sz="0" w:space="0" w:color="auto"/>
                                    <w:right w:val="none" w:sz="0" w:space="0" w:color="auto"/>
                                  </w:divBdr>
                                  <w:divsChild>
                                    <w:div w:id="3292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323752">
      <w:bodyDiv w:val="1"/>
      <w:marLeft w:val="0"/>
      <w:marRight w:val="0"/>
      <w:marTop w:val="0"/>
      <w:marBottom w:val="0"/>
      <w:divBdr>
        <w:top w:val="none" w:sz="0" w:space="0" w:color="auto"/>
        <w:left w:val="none" w:sz="0" w:space="0" w:color="auto"/>
        <w:bottom w:val="none" w:sz="0" w:space="0" w:color="auto"/>
        <w:right w:val="none" w:sz="0" w:space="0" w:color="auto"/>
      </w:divBdr>
      <w:divsChild>
        <w:div w:id="1545753820">
          <w:marLeft w:val="0"/>
          <w:marRight w:val="0"/>
          <w:marTop w:val="0"/>
          <w:marBottom w:val="0"/>
          <w:divBdr>
            <w:top w:val="none" w:sz="0" w:space="0" w:color="auto"/>
            <w:left w:val="none" w:sz="0" w:space="0" w:color="auto"/>
            <w:bottom w:val="none" w:sz="0" w:space="0" w:color="auto"/>
            <w:right w:val="none" w:sz="0" w:space="0" w:color="auto"/>
          </w:divBdr>
          <w:divsChild>
            <w:div w:id="645596880">
              <w:marLeft w:val="0"/>
              <w:marRight w:val="0"/>
              <w:marTop w:val="0"/>
              <w:marBottom w:val="0"/>
              <w:divBdr>
                <w:top w:val="none" w:sz="0" w:space="0" w:color="auto"/>
                <w:left w:val="none" w:sz="0" w:space="0" w:color="auto"/>
                <w:bottom w:val="none" w:sz="0" w:space="0" w:color="auto"/>
                <w:right w:val="none" w:sz="0" w:space="0" w:color="auto"/>
              </w:divBdr>
              <w:divsChild>
                <w:div w:id="1631009787">
                  <w:marLeft w:val="0"/>
                  <w:marRight w:val="0"/>
                  <w:marTop w:val="0"/>
                  <w:marBottom w:val="0"/>
                  <w:divBdr>
                    <w:top w:val="none" w:sz="0" w:space="0" w:color="auto"/>
                    <w:left w:val="none" w:sz="0" w:space="0" w:color="auto"/>
                    <w:bottom w:val="none" w:sz="0" w:space="0" w:color="auto"/>
                    <w:right w:val="none" w:sz="0" w:space="0" w:color="auto"/>
                  </w:divBdr>
                  <w:divsChild>
                    <w:div w:id="1981954328">
                      <w:marLeft w:val="0"/>
                      <w:marRight w:val="0"/>
                      <w:marTop w:val="0"/>
                      <w:marBottom w:val="0"/>
                      <w:divBdr>
                        <w:top w:val="none" w:sz="0" w:space="0" w:color="auto"/>
                        <w:left w:val="none" w:sz="0" w:space="0" w:color="auto"/>
                        <w:bottom w:val="none" w:sz="0" w:space="0" w:color="auto"/>
                        <w:right w:val="none" w:sz="0" w:space="0" w:color="auto"/>
                      </w:divBdr>
                      <w:divsChild>
                        <w:div w:id="2066097278">
                          <w:marLeft w:val="0"/>
                          <w:marRight w:val="0"/>
                          <w:marTop w:val="0"/>
                          <w:marBottom w:val="0"/>
                          <w:divBdr>
                            <w:top w:val="none" w:sz="0" w:space="0" w:color="auto"/>
                            <w:left w:val="none" w:sz="0" w:space="0" w:color="auto"/>
                            <w:bottom w:val="none" w:sz="0" w:space="0" w:color="auto"/>
                            <w:right w:val="none" w:sz="0" w:space="0" w:color="auto"/>
                          </w:divBdr>
                          <w:divsChild>
                            <w:div w:id="1760058554">
                              <w:marLeft w:val="0"/>
                              <w:marRight w:val="0"/>
                              <w:marTop w:val="0"/>
                              <w:marBottom w:val="0"/>
                              <w:divBdr>
                                <w:top w:val="none" w:sz="0" w:space="0" w:color="auto"/>
                                <w:left w:val="none" w:sz="0" w:space="0" w:color="auto"/>
                                <w:bottom w:val="none" w:sz="0" w:space="0" w:color="auto"/>
                                <w:right w:val="none" w:sz="0" w:space="0" w:color="auto"/>
                              </w:divBdr>
                              <w:divsChild>
                                <w:div w:id="428430741">
                                  <w:marLeft w:val="0"/>
                                  <w:marRight w:val="0"/>
                                  <w:marTop w:val="0"/>
                                  <w:marBottom w:val="0"/>
                                  <w:divBdr>
                                    <w:top w:val="none" w:sz="0" w:space="0" w:color="auto"/>
                                    <w:left w:val="none" w:sz="0" w:space="0" w:color="auto"/>
                                    <w:bottom w:val="none" w:sz="0" w:space="0" w:color="auto"/>
                                    <w:right w:val="none" w:sz="0" w:space="0" w:color="auto"/>
                                  </w:divBdr>
                                  <w:divsChild>
                                    <w:div w:id="7644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308107">
      <w:bodyDiv w:val="1"/>
      <w:marLeft w:val="0"/>
      <w:marRight w:val="0"/>
      <w:marTop w:val="0"/>
      <w:marBottom w:val="0"/>
      <w:divBdr>
        <w:top w:val="none" w:sz="0" w:space="0" w:color="auto"/>
        <w:left w:val="none" w:sz="0" w:space="0" w:color="auto"/>
        <w:bottom w:val="none" w:sz="0" w:space="0" w:color="auto"/>
        <w:right w:val="none" w:sz="0" w:space="0" w:color="auto"/>
      </w:divBdr>
    </w:div>
    <w:div w:id="14714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Campbell</dc:creator>
  <cp:lastModifiedBy>Zoë Campbell</cp:lastModifiedBy>
  <cp:revision>3</cp:revision>
  <dcterms:created xsi:type="dcterms:W3CDTF">2025-06-05T14:56:00Z</dcterms:created>
  <dcterms:modified xsi:type="dcterms:W3CDTF">2025-06-05T15:03:00Z</dcterms:modified>
</cp:coreProperties>
</file>